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8A29A1" w14:textId="5E749D70" w:rsidR="00F618ED" w:rsidRPr="00446F9D" w:rsidRDefault="00F618ED" w:rsidP="00F618ED">
      <w:pPr>
        <w:pStyle w:val="Header"/>
        <w:tabs>
          <w:tab w:val="clear" w:pos="4536"/>
        </w:tabs>
        <w:rPr>
          <w:i/>
        </w:rPr>
      </w:pPr>
      <w:r w:rsidRPr="00446F9D">
        <w:t>TSG-RAN WG1 #</w:t>
      </w:r>
      <w:r>
        <w:t>87</w:t>
      </w:r>
      <w:r w:rsidRPr="00446F9D">
        <w:tab/>
      </w:r>
      <w:r w:rsidRPr="00363390">
        <w:t>R1-16</w:t>
      </w:r>
      <w:r w:rsidR="009867D7">
        <w:t>12921</w:t>
      </w:r>
      <w:bookmarkStart w:id="0" w:name="_GoBack"/>
      <w:bookmarkEnd w:id="0"/>
    </w:p>
    <w:p w14:paraId="296BD30A" w14:textId="77777777" w:rsidR="00F618ED" w:rsidRPr="000833FA" w:rsidRDefault="00F618ED" w:rsidP="00F618ED">
      <w:pPr>
        <w:pStyle w:val="Header"/>
        <w:rPr>
          <w:color w:val="000000"/>
        </w:rPr>
      </w:pPr>
      <w:r>
        <w:t>Reno, NV, USA, November 14 – 18, 2016</w:t>
      </w:r>
    </w:p>
    <w:p w14:paraId="288C0066" w14:textId="77777777" w:rsidR="00F618ED" w:rsidRPr="000833FA" w:rsidRDefault="00F618ED" w:rsidP="00F618ED">
      <w:pPr>
        <w:pStyle w:val="Header"/>
      </w:pPr>
    </w:p>
    <w:p w14:paraId="1DF813C3" w14:textId="77777777" w:rsidR="00F618ED" w:rsidRPr="0003368D" w:rsidRDefault="00F618ED" w:rsidP="00F618ED">
      <w:pPr>
        <w:pStyle w:val="Header"/>
        <w:tabs>
          <w:tab w:val="clear" w:pos="4536"/>
          <w:tab w:val="left" w:pos="1800"/>
        </w:tabs>
        <w:ind w:left="1800" w:hanging="1800"/>
      </w:pPr>
      <w:r w:rsidRPr="0003368D">
        <w:t>Source:</w:t>
      </w:r>
      <w:r w:rsidRPr="0003368D">
        <w:tab/>
        <w:t>Ericsson</w:t>
      </w:r>
    </w:p>
    <w:p w14:paraId="511AD6FD" w14:textId="50F622F2" w:rsidR="00F618ED" w:rsidRPr="00E220C0" w:rsidRDefault="00F618ED" w:rsidP="00F618ED">
      <w:pPr>
        <w:pStyle w:val="Header"/>
        <w:tabs>
          <w:tab w:val="clear" w:pos="4536"/>
          <w:tab w:val="left" w:pos="1800"/>
        </w:tabs>
      </w:pPr>
      <w:r w:rsidRPr="0003368D">
        <w:t>Title:</w:t>
      </w:r>
      <w:bookmarkStart w:id="1" w:name="Title"/>
      <w:bookmarkEnd w:id="1"/>
      <w:r w:rsidRPr="0003368D">
        <w:tab/>
      </w:r>
      <w:r w:rsidR="00A057EA" w:rsidRPr="00A057EA">
        <w:t>On timing of uplink hybrid-ARQ acknowledgement</w:t>
      </w:r>
    </w:p>
    <w:p w14:paraId="0DB675C4" w14:textId="45AA68D2" w:rsidR="00F618ED" w:rsidRPr="00E220C0" w:rsidRDefault="00F618ED" w:rsidP="00F618ED">
      <w:pPr>
        <w:pStyle w:val="Header"/>
        <w:tabs>
          <w:tab w:val="left" w:pos="1800"/>
        </w:tabs>
      </w:pPr>
      <w:r w:rsidRPr="00E220C0">
        <w:t>Agenda Item:</w:t>
      </w:r>
      <w:bookmarkStart w:id="2" w:name="Source"/>
      <w:bookmarkEnd w:id="2"/>
      <w:r w:rsidRPr="00E220C0">
        <w:tab/>
      </w:r>
      <w:r w:rsidR="0049799A">
        <w:t>7.1.</w:t>
      </w:r>
      <w:r w:rsidR="001B243C">
        <w:t>4.</w:t>
      </w:r>
      <w:r w:rsidR="00A057EA">
        <w:t>3</w:t>
      </w:r>
    </w:p>
    <w:p w14:paraId="2BD0891E" w14:textId="77777777" w:rsidR="00F618ED" w:rsidRPr="0003368D" w:rsidRDefault="00F618ED" w:rsidP="00F618ED">
      <w:pPr>
        <w:pStyle w:val="Header"/>
        <w:tabs>
          <w:tab w:val="left" w:pos="1800"/>
        </w:tabs>
      </w:pPr>
      <w:r w:rsidRPr="00E220C0">
        <w:t>Document for:</w:t>
      </w:r>
      <w:r w:rsidRPr="0003368D">
        <w:tab/>
      </w:r>
      <w:bookmarkStart w:id="3" w:name="DocumentFor"/>
      <w:bookmarkEnd w:id="3"/>
      <w:r w:rsidRPr="0003368D">
        <w:t xml:space="preserve">Discussion </w:t>
      </w:r>
      <w:r>
        <w:t>and Decision</w:t>
      </w:r>
    </w:p>
    <w:p w14:paraId="7A28FE1D" w14:textId="77777777" w:rsidR="00F618ED" w:rsidRPr="002100D2" w:rsidRDefault="00F618ED" w:rsidP="00F618ED">
      <w:pPr>
        <w:pBdr>
          <w:bottom w:val="single" w:sz="4" w:space="1" w:color="auto"/>
        </w:pBdr>
        <w:tabs>
          <w:tab w:val="left" w:pos="2552"/>
        </w:tabs>
      </w:pPr>
    </w:p>
    <w:p w14:paraId="11A9A3E9" w14:textId="50CA01C4" w:rsidR="00F618ED" w:rsidRDefault="00F618ED" w:rsidP="00F618ED">
      <w:pPr>
        <w:pStyle w:val="Heading1"/>
        <w:spacing w:before="180"/>
        <w:ind w:left="562" w:hanging="562"/>
      </w:pPr>
      <w:r>
        <w:t>Introduction</w:t>
      </w:r>
    </w:p>
    <w:p w14:paraId="70B2A4A7" w14:textId="1B7B8D67" w:rsidR="0022072F" w:rsidRDefault="0022072F" w:rsidP="0022072F">
      <w:pPr>
        <w:pStyle w:val="BodyText"/>
      </w:pPr>
      <w:r>
        <w:t xml:space="preserve">At RAN1#86bis, </w:t>
      </w:r>
      <w:r w:rsidR="00A057EA">
        <w:t>the following was agreed:</w:t>
      </w:r>
    </w:p>
    <w:p w14:paraId="21687C87" w14:textId="77777777" w:rsidR="00A057EA" w:rsidRPr="00973649" w:rsidRDefault="00A057EA" w:rsidP="00A057EA">
      <w:pPr>
        <w:numPr>
          <w:ilvl w:val="0"/>
          <w:numId w:val="25"/>
        </w:numPr>
        <w:rPr>
          <w:rFonts w:eastAsia="MS Mincho"/>
          <w:lang w:eastAsia="ja-JP"/>
        </w:rPr>
      </w:pPr>
      <w:r>
        <w:rPr>
          <w:rFonts w:eastAsia="MS Mincho" w:hint="eastAsia"/>
          <w:lang w:eastAsia="ja-JP"/>
        </w:rPr>
        <w:t>T</w:t>
      </w:r>
      <w:r w:rsidRPr="00973649">
        <w:rPr>
          <w:rFonts w:eastAsia="MS Mincho"/>
          <w:lang w:eastAsia="ja-JP"/>
        </w:rPr>
        <w:t>iming relationship between DL data reception and corresponding acknowledgement can be (one or more of, FFS which ones)</w:t>
      </w:r>
    </w:p>
    <w:p w14:paraId="407E04B6" w14:textId="77777777" w:rsidR="00A057EA" w:rsidRPr="00973649" w:rsidRDefault="00A057EA" w:rsidP="00A057EA">
      <w:pPr>
        <w:numPr>
          <w:ilvl w:val="1"/>
          <w:numId w:val="25"/>
        </w:numPr>
        <w:rPr>
          <w:rFonts w:eastAsia="MS Mincho"/>
          <w:lang w:eastAsia="ja-JP"/>
        </w:rPr>
      </w:pPr>
      <w:r w:rsidRPr="00973649">
        <w:rPr>
          <w:rFonts w:eastAsia="MS Mincho"/>
          <w:lang w:eastAsia="ja-JP"/>
        </w:rPr>
        <w:t>dynamically indicated by L1 signaling (e.g., DCI)</w:t>
      </w:r>
    </w:p>
    <w:p w14:paraId="3D878067" w14:textId="77777777" w:rsidR="00A057EA" w:rsidRPr="00973649" w:rsidRDefault="00A057EA" w:rsidP="00A057EA">
      <w:pPr>
        <w:numPr>
          <w:ilvl w:val="1"/>
          <w:numId w:val="25"/>
        </w:numPr>
        <w:rPr>
          <w:rFonts w:eastAsia="MS Mincho"/>
          <w:lang w:eastAsia="ja-JP"/>
        </w:rPr>
      </w:pPr>
      <w:r w:rsidRPr="00973649">
        <w:rPr>
          <w:rFonts w:eastAsia="MS Mincho"/>
          <w:lang w:eastAsia="ja-JP"/>
        </w:rPr>
        <w:t>semi-statically indicated to a UE via higher layer</w:t>
      </w:r>
    </w:p>
    <w:p w14:paraId="1255B16F" w14:textId="77777777" w:rsidR="00A057EA" w:rsidRPr="00973649" w:rsidRDefault="00A057EA" w:rsidP="00A057EA">
      <w:pPr>
        <w:numPr>
          <w:ilvl w:val="1"/>
          <w:numId w:val="25"/>
        </w:numPr>
        <w:rPr>
          <w:rFonts w:eastAsia="MS Mincho"/>
          <w:lang w:eastAsia="ja-JP"/>
        </w:rPr>
      </w:pPr>
      <w:r w:rsidRPr="00973649">
        <w:rPr>
          <w:rFonts w:eastAsia="MS Mincho"/>
          <w:lang w:eastAsia="ja-JP"/>
        </w:rPr>
        <w:t>a combination of indication by higher layers and dynamic L1 signaling (e.g., DCI)</w:t>
      </w:r>
    </w:p>
    <w:p w14:paraId="7C84A3C5" w14:textId="77777777" w:rsidR="00A057EA" w:rsidRPr="00973649" w:rsidRDefault="00A057EA" w:rsidP="00A057EA">
      <w:pPr>
        <w:numPr>
          <w:ilvl w:val="0"/>
          <w:numId w:val="25"/>
        </w:numPr>
        <w:rPr>
          <w:rFonts w:eastAsia="MS Mincho"/>
          <w:lang w:eastAsia="ja-JP"/>
        </w:rPr>
      </w:pPr>
      <w:r w:rsidRPr="00973649">
        <w:rPr>
          <w:rFonts w:eastAsia="MS Mincho"/>
          <w:lang w:eastAsia="ja-JP"/>
        </w:rPr>
        <w:t>FFS: minimum interval between DL data reception and corresponding acknowledgement</w:t>
      </w:r>
    </w:p>
    <w:p w14:paraId="078BC278" w14:textId="77777777" w:rsidR="00A057EA" w:rsidRPr="00973649" w:rsidRDefault="00A057EA" w:rsidP="00A057EA">
      <w:pPr>
        <w:numPr>
          <w:ilvl w:val="0"/>
          <w:numId w:val="25"/>
        </w:numPr>
        <w:rPr>
          <w:rFonts w:eastAsia="MS Mincho"/>
          <w:lang w:eastAsia="ja-JP"/>
        </w:rPr>
      </w:pPr>
      <w:r w:rsidRPr="00973649">
        <w:rPr>
          <w:rFonts w:eastAsia="MS Mincho"/>
          <w:lang w:eastAsia="ja-JP"/>
        </w:rPr>
        <w:t>FFS: common channels (e.g. random access)</w:t>
      </w:r>
    </w:p>
    <w:p w14:paraId="6AC1F293" w14:textId="77777777" w:rsidR="00A057EA" w:rsidRDefault="00A057EA" w:rsidP="0022072F">
      <w:pPr>
        <w:pStyle w:val="BodyText"/>
      </w:pPr>
    </w:p>
    <w:p w14:paraId="307F088B" w14:textId="07ABF425" w:rsidR="00A057EA" w:rsidRPr="0022072F" w:rsidRDefault="00A057EA" w:rsidP="0022072F">
      <w:pPr>
        <w:pStyle w:val="BodyText"/>
      </w:pPr>
      <w:r>
        <w:t>In this contribution we present some views related to the timing of hybrid-ARQ acknowledgements.</w:t>
      </w:r>
    </w:p>
    <w:p w14:paraId="635F5223" w14:textId="2D83E804" w:rsidR="004B1C8B" w:rsidRDefault="00230310" w:rsidP="00230310">
      <w:pPr>
        <w:pStyle w:val="Heading1"/>
        <w:spacing w:before="180"/>
        <w:ind w:left="562" w:hanging="562"/>
      </w:pPr>
      <w:r>
        <w:t>Discussion</w:t>
      </w:r>
    </w:p>
    <w:p w14:paraId="2F96118D" w14:textId="0C2758FC" w:rsidR="00247FAB" w:rsidRDefault="00A057EA" w:rsidP="00A057EA">
      <w:pPr>
        <w:pStyle w:val="BodyText"/>
      </w:pPr>
      <w:r>
        <w:t>Hybrid-ARQ acknowledgement ‘immediately’ after reception of downlink data is clearly beneficial from a latency perspective</w:t>
      </w:r>
      <w:r w:rsidR="00546EB1">
        <w:t>, as well as for operation in unlicensed spectrum</w:t>
      </w:r>
      <w:r>
        <w:t xml:space="preserve">. In a TDD system, </w:t>
      </w:r>
      <w:r w:rsidR="00546EB1">
        <w:t>‘immediate’ ACK</w:t>
      </w:r>
      <w:r>
        <w:t xml:space="preserve"> requires the channel to be switched from DL to UL. However, there are situations when an immediate ACK is not desirable despite the UE having the required capabilities. One example is reducing the amount of UL/DL switching, another is coexistence with other technologies such as TD-LTE</w:t>
      </w:r>
      <w:r w:rsidR="006B1453">
        <w:t xml:space="preserve"> (see </w:t>
      </w:r>
      <w:r w:rsidR="006B1453">
        <w:fldChar w:fldCharType="begin"/>
      </w:r>
      <w:r w:rsidR="006B1453">
        <w:instrText xml:space="preserve"> REF _Ref465862656 \h </w:instrText>
      </w:r>
      <w:r w:rsidR="006B1453">
        <w:fldChar w:fldCharType="separate"/>
      </w:r>
      <w:r w:rsidR="006B1453">
        <w:t xml:space="preserve">Figure </w:t>
      </w:r>
      <w:r w:rsidR="006B1453">
        <w:rPr>
          <w:noProof/>
        </w:rPr>
        <w:t>1</w:t>
      </w:r>
      <w:r w:rsidR="006B1453">
        <w:fldChar w:fldCharType="end"/>
      </w:r>
      <w:r w:rsidR="006B1453">
        <w:t>)</w:t>
      </w:r>
      <w:r>
        <w:t xml:space="preserve">. At least in the first example and sometimes in the second example (e.g. </w:t>
      </w:r>
      <w:r w:rsidR="00247FAB">
        <w:t xml:space="preserve">with </w:t>
      </w:r>
      <w:proofErr w:type="spellStart"/>
      <w:r w:rsidR="00247FAB">
        <w:t>eIMTA</w:t>
      </w:r>
      <w:proofErr w:type="spellEnd"/>
      <w:r w:rsidR="00247FAB">
        <w:t xml:space="preserve"> used for the neighboring TD-LTE carrier</w:t>
      </w:r>
      <w:r>
        <w:t>)</w:t>
      </w:r>
      <w:r w:rsidR="006B1453">
        <w:t>,</w:t>
      </w:r>
      <w:r w:rsidR="00247FAB">
        <w:t xml:space="preserve"> the transmission time of the </w:t>
      </w:r>
      <w:r w:rsidR="006B1453">
        <w:t>hybrid-</w:t>
      </w:r>
      <w:r w:rsidR="00247FAB">
        <w:t xml:space="preserve">ARQ </w:t>
      </w:r>
      <w:r w:rsidR="006B1453">
        <w:t>acknowledgement</w:t>
      </w:r>
      <w:r w:rsidR="00247FAB">
        <w:t xml:space="preserve"> depends on the dynamic scheduling decisions. Therefore, the DCI need to contain information about the timing of the hybrid-ARQ transmitted in the uplink, e.g. by a bit indicating ‘ACK in this slot’ or ‘ACK in </w:t>
      </w:r>
      <w:r w:rsidR="003F33ED">
        <w:t>later</w:t>
      </w:r>
      <w:r w:rsidR="00247FAB">
        <w:t xml:space="preserve"> slot’.</w:t>
      </w:r>
    </w:p>
    <w:p w14:paraId="4D35312D" w14:textId="69DDA8B2" w:rsidR="00247FAB" w:rsidRDefault="00247FAB" w:rsidP="00A057EA">
      <w:pPr>
        <w:pStyle w:val="BodyText"/>
        <w:rPr>
          <w:b/>
        </w:rPr>
      </w:pPr>
      <w:r w:rsidRPr="00247FAB">
        <w:rPr>
          <w:b/>
        </w:rPr>
        <w:t>Proposal: DCI contains information indicating when to transmit the hybrid-ARQ acknowledgement in the uplink.</w:t>
      </w:r>
    </w:p>
    <w:p w14:paraId="779DB2D7" w14:textId="3AA976AD" w:rsidR="006B1453" w:rsidRDefault="00EC06DD" w:rsidP="00A057EA">
      <w:pPr>
        <w:pStyle w:val="BodyText"/>
      </w:pPr>
      <w:r>
        <w:t xml:space="preserve">Indicating multiple timing possibilities in the DCI may require multiple bits. Either these bits can indicate predefined timing relations (same slot, next slot, next-next slot, </w:t>
      </w:r>
      <w:proofErr w:type="spellStart"/>
      <w:r>
        <w:t>etc</w:t>
      </w:r>
      <w:proofErr w:type="spellEnd"/>
      <w:r>
        <w:t xml:space="preserve">), point to a set of RRC configured relations (same slot, RRC </w:t>
      </w:r>
      <w:proofErr w:type="spellStart"/>
      <w:r>
        <w:t>conf</w:t>
      </w:r>
      <w:proofErr w:type="spellEnd"/>
      <w:r>
        <w:t xml:space="preserve"> 1, RRC </w:t>
      </w:r>
      <w:proofErr w:type="spellStart"/>
      <w:r>
        <w:t>conf</w:t>
      </w:r>
      <w:proofErr w:type="spellEnd"/>
      <w:r>
        <w:t xml:space="preserve"> 2, </w:t>
      </w:r>
      <w:proofErr w:type="spellStart"/>
      <w:r>
        <w:t>etc</w:t>
      </w:r>
      <w:proofErr w:type="spellEnd"/>
      <w:r>
        <w:t xml:space="preserve">), or “polling” can be used. In the latter case, the DCI could contain a single bit indicating whether the UE should transmit the hybrid-ARQ acknowledgement (in the same slot) or not. If the UE was instructed not to transmit </w:t>
      </w:r>
      <w:r w:rsidR="003F33ED">
        <w:t>a</w:t>
      </w:r>
      <w:r>
        <w:t xml:space="preserve"> hybrid-ARQ acknowledgement, the network could at a later time instant “poll” the UE for the status of the previous receptions. Polling could have the benefit of avoiding complicated HARQ-ACK codebooks as used in LTE.</w:t>
      </w:r>
      <w:r w:rsidR="00546EB1">
        <w:t xml:space="preserve"> They can also be useful for operation in unlicensed spectrum for devices not capable of ‘immediate’ ACK.</w:t>
      </w:r>
    </w:p>
    <w:p w14:paraId="7A66DE76" w14:textId="08748B06" w:rsidR="00EC06DD" w:rsidRPr="00546EB1" w:rsidRDefault="00EC06DD" w:rsidP="00A057EA">
      <w:pPr>
        <w:pStyle w:val="BodyText"/>
        <w:rPr>
          <w:b/>
        </w:rPr>
      </w:pPr>
      <w:r w:rsidRPr="00EC06DD">
        <w:rPr>
          <w:b/>
        </w:rPr>
        <w:t>Proposal: Consider polled ACK in addition to ‘immediate’ ACK.</w:t>
      </w:r>
    </w:p>
    <w:p w14:paraId="57BB77C5" w14:textId="77777777" w:rsidR="006B1453" w:rsidRDefault="006B1453" w:rsidP="006B1453">
      <w:pPr>
        <w:pStyle w:val="BodyText"/>
        <w:keepNext/>
      </w:pPr>
      <w:r w:rsidRPr="006B1453">
        <w:rPr>
          <w:noProof/>
        </w:rPr>
        <w:drawing>
          <wp:inline distT="0" distB="0" distL="0" distR="0" wp14:anchorId="153078F9" wp14:editId="77941D1B">
            <wp:extent cx="5644827" cy="15716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817553" cy="1619715"/>
                    </a:xfrm>
                    <a:prstGeom prst="rect">
                      <a:avLst/>
                    </a:prstGeom>
                    <a:noFill/>
                    <a:ln>
                      <a:noFill/>
                    </a:ln>
                  </pic:spPr>
                </pic:pic>
              </a:graphicData>
            </a:graphic>
          </wp:inline>
        </w:drawing>
      </w:r>
    </w:p>
    <w:p w14:paraId="6BB09EB9" w14:textId="782CF9E4" w:rsidR="006B1453" w:rsidRPr="006B1453" w:rsidRDefault="006B1453" w:rsidP="006B1453">
      <w:pPr>
        <w:pStyle w:val="Caption"/>
        <w:jc w:val="both"/>
      </w:pPr>
      <w:bookmarkStart w:id="4" w:name="_Ref465862656"/>
      <w:r>
        <w:t xml:space="preserve">Figure </w:t>
      </w:r>
      <w:fldSimple w:instr=" SEQ Figure \* ARABIC ">
        <w:r>
          <w:rPr>
            <w:noProof/>
          </w:rPr>
          <w:t>1</w:t>
        </w:r>
      </w:fldSimple>
      <w:bookmarkEnd w:id="4"/>
      <w:r>
        <w:t>: ACK timing.</w:t>
      </w:r>
    </w:p>
    <w:p w14:paraId="6C34731C" w14:textId="7EA8DFB1" w:rsidR="00DA7D33" w:rsidRDefault="00DA7D33" w:rsidP="00DA7D33">
      <w:pPr>
        <w:pStyle w:val="Heading1"/>
        <w:spacing w:before="180"/>
        <w:ind w:left="562" w:hanging="562"/>
      </w:pPr>
      <w:r>
        <w:lastRenderedPageBreak/>
        <w:t>Conclusion</w:t>
      </w:r>
    </w:p>
    <w:p w14:paraId="080F5740" w14:textId="0ABBDC8D" w:rsidR="00EC06DD" w:rsidRPr="00EC06DD" w:rsidRDefault="00EC06DD" w:rsidP="00EC06DD">
      <w:pPr>
        <w:pStyle w:val="BodyText"/>
        <w:numPr>
          <w:ilvl w:val="0"/>
          <w:numId w:val="26"/>
        </w:numPr>
      </w:pPr>
      <w:r w:rsidRPr="00EC06DD">
        <w:t>DCI contains information indicating when to transmit the hybrid-ARQ acknowledgement in the uplink.</w:t>
      </w:r>
    </w:p>
    <w:p w14:paraId="2F9A72A7" w14:textId="162D591B" w:rsidR="00EC06DD" w:rsidRPr="00EC06DD" w:rsidRDefault="00EC06DD" w:rsidP="00A057EA">
      <w:pPr>
        <w:pStyle w:val="BodyText"/>
        <w:numPr>
          <w:ilvl w:val="0"/>
          <w:numId w:val="26"/>
        </w:numPr>
      </w:pPr>
      <w:r w:rsidRPr="00EC06DD">
        <w:t>Consider polled ACK in addition to ‘immediate’ ACK.</w:t>
      </w:r>
    </w:p>
    <w:sectPr w:rsidR="00EC06DD" w:rsidRPr="00EC06DD" w:rsidSect="00C6289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C33134"/>
    <w:multiLevelType w:val="hybridMultilevel"/>
    <w:tmpl w:val="882EE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8B63F3"/>
    <w:multiLevelType w:val="hybridMultilevel"/>
    <w:tmpl w:val="617E9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2F02AF"/>
    <w:multiLevelType w:val="hybridMultilevel"/>
    <w:tmpl w:val="2E9A2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500138"/>
    <w:multiLevelType w:val="hybridMultilevel"/>
    <w:tmpl w:val="BAE8C508"/>
    <w:lvl w:ilvl="0" w:tplc="578054F0">
      <w:start w:val="1"/>
      <w:numFmt w:val="bullet"/>
      <w:lvlText w:val="›"/>
      <w:lvlJc w:val="left"/>
      <w:pPr>
        <w:tabs>
          <w:tab w:val="num" w:pos="720"/>
        </w:tabs>
        <w:ind w:left="720" w:hanging="360"/>
      </w:pPr>
      <w:rPr>
        <w:rFonts w:ascii="Arial" w:hAnsi="Arial" w:hint="default"/>
      </w:rPr>
    </w:lvl>
    <w:lvl w:ilvl="1" w:tplc="FAB6D77A">
      <w:start w:val="1214"/>
      <w:numFmt w:val="bullet"/>
      <w:lvlText w:val="–"/>
      <w:lvlJc w:val="left"/>
      <w:pPr>
        <w:tabs>
          <w:tab w:val="num" w:pos="1440"/>
        </w:tabs>
        <w:ind w:left="1440" w:hanging="360"/>
      </w:pPr>
      <w:rPr>
        <w:rFonts w:ascii="Ericsson Capital TT" w:hAnsi="Ericsson Capital TT" w:hint="default"/>
      </w:rPr>
    </w:lvl>
    <w:lvl w:ilvl="2" w:tplc="15CA3D5A">
      <w:start w:val="1"/>
      <w:numFmt w:val="bullet"/>
      <w:lvlText w:val="›"/>
      <w:lvlJc w:val="left"/>
      <w:pPr>
        <w:tabs>
          <w:tab w:val="num" w:pos="2160"/>
        </w:tabs>
        <w:ind w:left="2160" w:hanging="360"/>
      </w:pPr>
      <w:rPr>
        <w:rFonts w:ascii="Arial" w:hAnsi="Arial" w:hint="default"/>
      </w:rPr>
    </w:lvl>
    <w:lvl w:ilvl="3" w:tplc="027CBD2A" w:tentative="1">
      <w:start w:val="1"/>
      <w:numFmt w:val="bullet"/>
      <w:lvlText w:val="›"/>
      <w:lvlJc w:val="left"/>
      <w:pPr>
        <w:tabs>
          <w:tab w:val="num" w:pos="2880"/>
        </w:tabs>
        <w:ind w:left="2880" w:hanging="360"/>
      </w:pPr>
      <w:rPr>
        <w:rFonts w:ascii="Arial" w:hAnsi="Arial" w:hint="default"/>
      </w:rPr>
    </w:lvl>
    <w:lvl w:ilvl="4" w:tplc="7EA88F2A" w:tentative="1">
      <w:start w:val="1"/>
      <w:numFmt w:val="bullet"/>
      <w:lvlText w:val="›"/>
      <w:lvlJc w:val="left"/>
      <w:pPr>
        <w:tabs>
          <w:tab w:val="num" w:pos="3600"/>
        </w:tabs>
        <w:ind w:left="3600" w:hanging="360"/>
      </w:pPr>
      <w:rPr>
        <w:rFonts w:ascii="Arial" w:hAnsi="Arial" w:hint="default"/>
      </w:rPr>
    </w:lvl>
    <w:lvl w:ilvl="5" w:tplc="E744AA56" w:tentative="1">
      <w:start w:val="1"/>
      <w:numFmt w:val="bullet"/>
      <w:lvlText w:val="›"/>
      <w:lvlJc w:val="left"/>
      <w:pPr>
        <w:tabs>
          <w:tab w:val="num" w:pos="4320"/>
        </w:tabs>
        <w:ind w:left="4320" w:hanging="360"/>
      </w:pPr>
      <w:rPr>
        <w:rFonts w:ascii="Arial" w:hAnsi="Arial" w:hint="default"/>
      </w:rPr>
    </w:lvl>
    <w:lvl w:ilvl="6" w:tplc="4936FBF0" w:tentative="1">
      <w:start w:val="1"/>
      <w:numFmt w:val="bullet"/>
      <w:lvlText w:val="›"/>
      <w:lvlJc w:val="left"/>
      <w:pPr>
        <w:tabs>
          <w:tab w:val="num" w:pos="5040"/>
        </w:tabs>
        <w:ind w:left="5040" w:hanging="360"/>
      </w:pPr>
      <w:rPr>
        <w:rFonts w:ascii="Arial" w:hAnsi="Arial" w:hint="default"/>
      </w:rPr>
    </w:lvl>
    <w:lvl w:ilvl="7" w:tplc="D062FDDC" w:tentative="1">
      <w:start w:val="1"/>
      <w:numFmt w:val="bullet"/>
      <w:lvlText w:val="›"/>
      <w:lvlJc w:val="left"/>
      <w:pPr>
        <w:tabs>
          <w:tab w:val="num" w:pos="5760"/>
        </w:tabs>
        <w:ind w:left="5760" w:hanging="360"/>
      </w:pPr>
      <w:rPr>
        <w:rFonts w:ascii="Arial" w:hAnsi="Arial" w:hint="default"/>
      </w:rPr>
    </w:lvl>
    <w:lvl w:ilvl="8" w:tplc="8AD80BC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CA82087"/>
    <w:multiLevelType w:val="hybridMultilevel"/>
    <w:tmpl w:val="1CB0F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CA3D2B"/>
    <w:multiLevelType w:val="hybridMultilevel"/>
    <w:tmpl w:val="9692D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0F61715"/>
    <w:multiLevelType w:val="hybridMultilevel"/>
    <w:tmpl w:val="8626F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B50837"/>
    <w:multiLevelType w:val="hybridMultilevel"/>
    <w:tmpl w:val="B09C0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0B5B23"/>
    <w:multiLevelType w:val="hybridMultilevel"/>
    <w:tmpl w:val="2F624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2AD2F05"/>
    <w:multiLevelType w:val="hybridMultilevel"/>
    <w:tmpl w:val="4198DB7C"/>
    <w:lvl w:ilvl="0" w:tplc="E0024872">
      <w:start w:val="1"/>
      <w:numFmt w:val="bullet"/>
      <w:lvlText w:val="•"/>
      <w:lvlJc w:val="left"/>
      <w:pPr>
        <w:tabs>
          <w:tab w:val="num" w:pos="1080"/>
        </w:tabs>
        <w:ind w:left="1080" w:hanging="360"/>
      </w:pPr>
      <w:rPr>
        <w:rFonts w:ascii="Arial" w:hAnsi="Arial" w:hint="default"/>
      </w:rPr>
    </w:lvl>
    <w:lvl w:ilvl="1" w:tplc="C01684CC">
      <w:start w:val="3109"/>
      <w:numFmt w:val="bullet"/>
      <w:lvlText w:val="–"/>
      <w:lvlJc w:val="left"/>
      <w:pPr>
        <w:tabs>
          <w:tab w:val="num" w:pos="1800"/>
        </w:tabs>
        <w:ind w:left="1800" w:hanging="360"/>
      </w:pPr>
      <w:rPr>
        <w:rFonts w:ascii="Arial" w:hAnsi="Arial" w:hint="default"/>
      </w:rPr>
    </w:lvl>
    <w:lvl w:ilvl="2" w:tplc="1312E1BA" w:tentative="1">
      <w:start w:val="1"/>
      <w:numFmt w:val="bullet"/>
      <w:lvlText w:val="•"/>
      <w:lvlJc w:val="left"/>
      <w:pPr>
        <w:tabs>
          <w:tab w:val="num" w:pos="2520"/>
        </w:tabs>
        <w:ind w:left="2520" w:hanging="360"/>
      </w:pPr>
      <w:rPr>
        <w:rFonts w:ascii="Arial" w:hAnsi="Arial" w:hint="default"/>
      </w:rPr>
    </w:lvl>
    <w:lvl w:ilvl="3" w:tplc="5FD4AEB2" w:tentative="1">
      <w:start w:val="1"/>
      <w:numFmt w:val="bullet"/>
      <w:lvlText w:val="•"/>
      <w:lvlJc w:val="left"/>
      <w:pPr>
        <w:tabs>
          <w:tab w:val="num" w:pos="3240"/>
        </w:tabs>
        <w:ind w:left="3240" w:hanging="360"/>
      </w:pPr>
      <w:rPr>
        <w:rFonts w:ascii="Arial" w:hAnsi="Arial" w:hint="default"/>
      </w:rPr>
    </w:lvl>
    <w:lvl w:ilvl="4" w:tplc="77A8D6D8" w:tentative="1">
      <w:start w:val="1"/>
      <w:numFmt w:val="bullet"/>
      <w:lvlText w:val="•"/>
      <w:lvlJc w:val="left"/>
      <w:pPr>
        <w:tabs>
          <w:tab w:val="num" w:pos="3960"/>
        </w:tabs>
        <w:ind w:left="3960" w:hanging="360"/>
      </w:pPr>
      <w:rPr>
        <w:rFonts w:ascii="Arial" w:hAnsi="Arial" w:hint="default"/>
      </w:rPr>
    </w:lvl>
    <w:lvl w:ilvl="5" w:tplc="C76628E0" w:tentative="1">
      <w:start w:val="1"/>
      <w:numFmt w:val="bullet"/>
      <w:lvlText w:val="•"/>
      <w:lvlJc w:val="left"/>
      <w:pPr>
        <w:tabs>
          <w:tab w:val="num" w:pos="4680"/>
        </w:tabs>
        <w:ind w:left="4680" w:hanging="360"/>
      </w:pPr>
      <w:rPr>
        <w:rFonts w:ascii="Arial" w:hAnsi="Arial" w:hint="default"/>
      </w:rPr>
    </w:lvl>
    <w:lvl w:ilvl="6" w:tplc="8E9ED77C" w:tentative="1">
      <w:start w:val="1"/>
      <w:numFmt w:val="bullet"/>
      <w:lvlText w:val="•"/>
      <w:lvlJc w:val="left"/>
      <w:pPr>
        <w:tabs>
          <w:tab w:val="num" w:pos="5400"/>
        </w:tabs>
        <w:ind w:left="5400" w:hanging="360"/>
      </w:pPr>
      <w:rPr>
        <w:rFonts w:ascii="Arial" w:hAnsi="Arial" w:hint="default"/>
      </w:rPr>
    </w:lvl>
    <w:lvl w:ilvl="7" w:tplc="63261E5E" w:tentative="1">
      <w:start w:val="1"/>
      <w:numFmt w:val="bullet"/>
      <w:lvlText w:val="•"/>
      <w:lvlJc w:val="left"/>
      <w:pPr>
        <w:tabs>
          <w:tab w:val="num" w:pos="6120"/>
        </w:tabs>
        <w:ind w:left="6120" w:hanging="360"/>
      </w:pPr>
      <w:rPr>
        <w:rFonts w:ascii="Arial" w:hAnsi="Arial" w:hint="default"/>
      </w:rPr>
    </w:lvl>
    <w:lvl w:ilvl="8" w:tplc="62FA80F8" w:tentative="1">
      <w:start w:val="1"/>
      <w:numFmt w:val="bullet"/>
      <w:lvlText w:val="•"/>
      <w:lvlJc w:val="left"/>
      <w:pPr>
        <w:tabs>
          <w:tab w:val="num" w:pos="6840"/>
        </w:tabs>
        <w:ind w:left="6840" w:hanging="360"/>
      </w:pPr>
      <w:rPr>
        <w:rFonts w:ascii="Arial" w:hAnsi="Arial" w:hint="default"/>
      </w:rPr>
    </w:lvl>
  </w:abstractNum>
  <w:abstractNum w:abstractNumId="12" w15:restartNumberingAfterBreak="0">
    <w:nsid w:val="4A2067D4"/>
    <w:multiLevelType w:val="hybridMultilevel"/>
    <w:tmpl w:val="FDC2A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E66DDD"/>
    <w:multiLevelType w:val="hybridMultilevel"/>
    <w:tmpl w:val="04DCE2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395066"/>
    <w:multiLevelType w:val="hybridMultilevel"/>
    <w:tmpl w:val="20A0F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073E8F"/>
    <w:multiLevelType w:val="hybridMultilevel"/>
    <w:tmpl w:val="89D41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490556"/>
    <w:multiLevelType w:val="hybridMultilevel"/>
    <w:tmpl w:val="E354A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A6781E"/>
    <w:multiLevelType w:val="hybridMultilevel"/>
    <w:tmpl w:val="F0B4D5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B05796"/>
    <w:multiLevelType w:val="hybridMultilevel"/>
    <w:tmpl w:val="AD169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1669BD"/>
    <w:multiLevelType w:val="hybridMultilevel"/>
    <w:tmpl w:val="68449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A323596"/>
    <w:multiLevelType w:val="hybridMultilevel"/>
    <w:tmpl w:val="F982A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D32FD1"/>
    <w:multiLevelType w:val="hybridMultilevel"/>
    <w:tmpl w:val="56521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ED18BC"/>
    <w:multiLevelType w:val="multilevel"/>
    <w:tmpl w:val="32FEA0A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3" w15:restartNumberingAfterBreak="0">
    <w:nsid w:val="7CF80E4D"/>
    <w:multiLevelType w:val="hybridMultilevel"/>
    <w:tmpl w:val="B29EF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2"/>
  </w:num>
  <w:num w:numId="3">
    <w:abstractNumId w:val="0"/>
  </w:num>
  <w:num w:numId="4">
    <w:abstractNumId w:val="22"/>
  </w:num>
  <w:num w:numId="5">
    <w:abstractNumId w:val="19"/>
  </w:num>
  <w:num w:numId="6">
    <w:abstractNumId w:val="16"/>
  </w:num>
  <w:num w:numId="7">
    <w:abstractNumId w:val="21"/>
  </w:num>
  <w:num w:numId="8">
    <w:abstractNumId w:val="20"/>
  </w:num>
  <w:num w:numId="9">
    <w:abstractNumId w:val="7"/>
  </w:num>
  <w:num w:numId="10">
    <w:abstractNumId w:val="2"/>
  </w:num>
  <w:num w:numId="11">
    <w:abstractNumId w:val="14"/>
  </w:num>
  <w:num w:numId="12">
    <w:abstractNumId w:val="23"/>
  </w:num>
  <w:num w:numId="13">
    <w:abstractNumId w:val="1"/>
  </w:num>
  <w:num w:numId="14">
    <w:abstractNumId w:val="3"/>
  </w:num>
  <w:num w:numId="15">
    <w:abstractNumId w:val="10"/>
  </w:num>
  <w:num w:numId="16">
    <w:abstractNumId w:val="4"/>
  </w:num>
  <w:num w:numId="17">
    <w:abstractNumId w:val="22"/>
  </w:num>
  <w:num w:numId="18">
    <w:abstractNumId w:val="13"/>
  </w:num>
  <w:num w:numId="19">
    <w:abstractNumId w:val="17"/>
  </w:num>
  <w:num w:numId="20">
    <w:abstractNumId w:val="6"/>
  </w:num>
  <w:num w:numId="21">
    <w:abstractNumId w:val="5"/>
  </w:num>
  <w:num w:numId="22">
    <w:abstractNumId w:val="18"/>
  </w:num>
  <w:num w:numId="23">
    <w:abstractNumId w:val="9"/>
  </w:num>
  <w:num w:numId="24">
    <w:abstractNumId w:val="8"/>
  </w:num>
  <w:num w:numId="25">
    <w:abstractNumId w:val="11"/>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8ED"/>
    <w:rsid w:val="000208D5"/>
    <w:rsid w:val="00024F13"/>
    <w:rsid w:val="00060F67"/>
    <w:rsid w:val="00106ABF"/>
    <w:rsid w:val="001B243C"/>
    <w:rsid w:val="001F0CAF"/>
    <w:rsid w:val="00213303"/>
    <w:rsid w:val="0022072F"/>
    <w:rsid w:val="00230310"/>
    <w:rsid w:val="00247FAB"/>
    <w:rsid w:val="0028065B"/>
    <w:rsid w:val="00286B6D"/>
    <w:rsid w:val="002E444B"/>
    <w:rsid w:val="0034475B"/>
    <w:rsid w:val="003F33ED"/>
    <w:rsid w:val="00434CD6"/>
    <w:rsid w:val="0048093F"/>
    <w:rsid w:val="0049799A"/>
    <w:rsid w:val="004B1C8B"/>
    <w:rsid w:val="0052140E"/>
    <w:rsid w:val="00546EB1"/>
    <w:rsid w:val="005514B5"/>
    <w:rsid w:val="005838EA"/>
    <w:rsid w:val="00627565"/>
    <w:rsid w:val="006A286A"/>
    <w:rsid w:val="006B1453"/>
    <w:rsid w:val="006B481E"/>
    <w:rsid w:val="006D4A4B"/>
    <w:rsid w:val="007C7533"/>
    <w:rsid w:val="00813D98"/>
    <w:rsid w:val="008A0342"/>
    <w:rsid w:val="008D5332"/>
    <w:rsid w:val="00916E30"/>
    <w:rsid w:val="00924E96"/>
    <w:rsid w:val="00942F98"/>
    <w:rsid w:val="009867D7"/>
    <w:rsid w:val="009A0611"/>
    <w:rsid w:val="009E46CD"/>
    <w:rsid w:val="00A057EA"/>
    <w:rsid w:val="00AC1F7D"/>
    <w:rsid w:val="00B03ED8"/>
    <w:rsid w:val="00B368D9"/>
    <w:rsid w:val="00BA4CC0"/>
    <w:rsid w:val="00BB2430"/>
    <w:rsid w:val="00BB7B54"/>
    <w:rsid w:val="00BC0FFC"/>
    <w:rsid w:val="00BE4063"/>
    <w:rsid w:val="00C1560A"/>
    <w:rsid w:val="00C62894"/>
    <w:rsid w:val="00C8496C"/>
    <w:rsid w:val="00CA5E5D"/>
    <w:rsid w:val="00CB5A40"/>
    <w:rsid w:val="00CC1CA7"/>
    <w:rsid w:val="00CC260C"/>
    <w:rsid w:val="00CE6CB0"/>
    <w:rsid w:val="00D03072"/>
    <w:rsid w:val="00D03E47"/>
    <w:rsid w:val="00D577BB"/>
    <w:rsid w:val="00D84D5E"/>
    <w:rsid w:val="00DA7D33"/>
    <w:rsid w:val="00DB6F36"/>
    <w:rsid w:val="00DD11CB"/>
    <w:rsid w:val="00DE0D8A"/>
    <w:rsid w:val="00DE1BAA"/>
    <w:rsid w:val="00E10C1F"/>
    <w:rsid w:val="00E20E32"/>
    <w:rsid w:val="00EB26FB"/>
    <w:rsid w:val="00EC06DD"/>
    <w:rsid w:val="00F346B4"/>
    <w:rsid w:val="00F618ED"/>
    <w:rsid w:val="00F81C1C"/>
    <w:rsid w:val="00F92325"/>
    <w:rsid w:val="00F92540"/>
    <w:rsid w:val="00FE1148"/>
    <w:rsid w:val="00FE1A94"/>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CDB635"/>
  <w15:chartTrackingRefBased/>
  <w15:docId w15:val="{54A907FB-0818-4EAE-A2EF-CCFECD25D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618ED"/>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618ED"/>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618ED"/>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618ED"/>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F618ED"/>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618ED"/>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
    <w:basedOn w:val="Normal"/>
    <w:link w:val="BodyTextChar"/>
    <w:rsid w:val="00F618ED"/>
    <w:pPr>
      <w:spacing w:after="120"/>
      <w:jc w:val="both"/>
    </w:pPr>
    <w:rPr>
      <w:rFonts w:eastAsia="MS Mincho"/>
    </w:rPr>
  </w:style>
  <w:style w:type="character" w:customStyle="1" w:styleId="BodyTextChar">
    <w:name w:val="Body Text Char"/>
    <w:aliases w:val="bt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618ED"/>
    <w:rPr>
      <w:rFonts w:ascii="Arial" w:eastAsia="MS Mincho" w:hAnsi="Arial"/>
      <w:b/>
      <w:sz w:val="20"/>
      <w:szCs w:val="24"/>
    </w:rPr>
  </w:style>
  <w:style w:type="table" w:styleId="TableGrid">
    <w:name w:val="Table Grid"/>
    <w:basedOn w:val="TableNormal"/>
    <w:uiPriority w:val="59"/>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E46CD"/>
    <w:pPr>
      <w:spacing w:after="200"/>
    </w:pPr>
    <w:rPr>
      <w:iCs/>
      <w:sz w:val="18"/>
      <w:szCs w:val="18"/>
    </w:rPr>
  </w:style>
  <w:style w:type="character" w:styleId="CommentReference">
    <w:name w:val="annotation reference"/>
    <w:basedOn w:val="DefaultParagraphFont"/>
    <w:uiPriority w:val="99"/>
    <w:semiHidden/>
    <w:unhideWhenUsed/>
    <w:rsid w:val="00627565"/>
    <w:rPr>
      <w:sz w:val="16"/>
      <w:szCs w:val="16"/>
    </w:rPr>
  </w:style>
  <w:style w:type="paragraph" w:styleId="CommentText">
    <w:name w:val="annotation text"/>
    <w:basedOn w:val="Normal"/>
    <w:link w:val="CommentTextChar"/>
    <w:uiPriority w:val="99"/>
    <w:semiHidden/>
    <w:unhideWhenUsed/>
    <w:rsid w:val="00627565"/>
    <w:rPr>
      <w:szCs w:val="20"/>
    </w:rPr>
  </w:style>
  <w:style w:type="character" w:customStyle="1" w:styleId="CommentTextChar">
    <w:name w:val="Comment Text Char"/>
    <w:basedOn w:val="DefaultParagraphFont"/>
    <w:link w:val="CommentText"/>
    <w:uiPriority w:val="99"/>
    <w:semiHidden/>
    <w:rsid w:val="00627565"/>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627565"/>
    <w:rPr>
      <w:b/>
      <w:bCs/>
    </w:rPr>
  </w:style>
  <w:style w:type="character" w:customStyle="1" w:styleId="CommentSubjectChar">
    <w:name w:val="Comment Subject Char"/>
    <w:basedOn w:val="CommentTextChar"/>
    <w:link w:val="CommentSubject"/>
    <w:uiPriority w:val="99"/>
    <w:semiHidden/>
    <w:rsid w:val="00627565"/>
    <w:rPr>
      <w:rFonts w:ascii="Times New Roman"/>
      <w:b/>
      <w:bCs/>
      <w:sz w:val="20"/>
      <w:szCs w:val="20"/>
    </w:rPr>
  </w:style>
  <w:style w:type="paragraph" w:styleId="Revision">
    <w:name w:val="Revision"/>
    <w:hidden/>
    <w:uiPriority w:val="99"/>
    <w:semiHidden/>
    <w:rsid w:val="00627565"/>
    <w:pPr>
      <w:spacing w:after="0" w:line="240" w:lineRule="auto"/>
    </w:pPr>
    <w:rPr>
      <w:rFonts w:ascii="Times New Roman"/>
      <w:sz w:val="20"/>
      <w:szCs w:val="24"/>
    </w:rPr>
  </w:style>
  <w:style w:type="paragraph" w:styleId="BalloonText">
    <w:name w:val="Balloon Text"/>
    <w:basedOn w:val="Normal"/>
    <w:link w:val="BalloonTextChar"/>
    <w:uiPriority w:val="99"/>
    <w:semiHidden/>
    <w:unhideWhenUsed/>
    <w:rsid w:val="0062756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756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7CBE42-3D03-4A92-8ADB-25B2B1A183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435</Words>
  <Characters>2485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Parkvall</dc:creator>
  <cp:keywords/>
  <dc:description/>
  <cp:lastModifiedBy>Stefan Parkvall</cp:lastModifiedBy>
  <cp:revision>2</cp:revision>
  <dcterms:created xsi:type="dcterms:W3CDTF">2016-11-04T12:48:00Z</dcterms:created>
  <dcterms:modified xsi:type="dcterms:W3CDTF">2016-11-04T12:48:00Z</dcterms:modified>
</cp:coreProperties>
</file>